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0D887" w14:textId="77777777" w:rsidR="00015692" w:rsidRPr="00015692" w:rsidRDefault="00015692" w:rsidP="00015692">
      <w:pPr>
        <w:spacing w:after="200" w:line="276" w:lineRule="auto"/>
        <w:jc w:val="center"/>
        <w:rPr>
          <w:rFonts w:ascii="Cambria" w:eastAsia="MS Mincho" w:hAnsi="Cambria" w:cs="Arial"/>
          <w:b/>
          <w:bCs/>
          <w:kern w:val="0"/>
          <w:sz w:val="22"/>
          <w:szCs w:val="22"/>
          <w14:ligatures w14:val="none"/>
        </w:rPr>
      </w:pPr>
      <w:r w:rsidRPr="00015692">
        <w:rPr>
          <w:rFonts w:ascii="Cambria" w:eastAsia="MS Mincho" w:hAnsi="Cambria" w:cs="Arial"/>
          <w:b/>
          <w:bCs/>
          <w:kern w:val="0"/>
          <w:sz w:val="22"/>
          <w:szCs w:val="22"/>
          <w14:ligatures w14:val="none"/>
        </w:rPr>
        <w:t>Appendix B</w:t>
      </w:r>
    </w:p>
    <w:p w14:paraId="1FBF883D" w14:textId="77777777" w:rsidR="00015692" w:rsidRPr="00015692" w:rsidRDefault="00015692" w:rsidP="00015692">
      <w:pPr>
        <w:spacing w:after="0" w:line="276" w:lineRule="auto"/>
        <w:jc w:val="center"/>
        <w:rPr>
          <w:rFonts w:ascii="Cambria" w:eastAsia="MS Mincho" w:hAnsi="Cambria" w:cs="Arial"/>
          <w:b/>
          <w:bCs/>
          <w:kern w:val="0"/>
          <w:sz w:val="22"/>
          <w:szCs w:val="22"/>
          <w14:ligatures w14:val="none"/>
        </w:rPr>
      </w:pPr>
      <w:r w:rsidRPr="00015692">
        <w:rPr>
          <w:rFonts w:ascii="Cambria" w:eastAsia="MS Mincho" w:hAnsi="Cambria" w:cs="Arial"/>
          <w:b/>
          <w:bCs/>
          <w:kern w:val="0"/>
          <w:sz w:val="22"/>
          <w:szCs w:val="22"/>
          <w14:ligatures w14:val="none"/>
        </w:rPr>
        <w:t>Further Clarification: Associated Risk &amp; Harms</w:t>
      </w:r>
    </w:p>
    <w:p w14:paraId="11DA619E" w14:textId="77777777" w:rsidR="00015692" w:rsidRPr="00015692" w:rsidRDefault="00015692" w:rsidP="00015692">
      <w:pPr>
        <w:spacing w:after="0" w:line="276" w:lineRule="auto"/>
        <w:jc w:val="center"/>
        <w:rPr>
          <w:rFonts w:ascii="Cambria" w:eastAsia="Cambria" w:hAnsi="Cambria" w:cs="Cambria"/>
          <w:kern w:val="0"/>
          <w:sz w:val="22"/>
          <w:szCs w:val="22"/>
          <w14:ligatures w14:val="none"/>
        </w:rPr>
      </w:pPr>
    </w:p>
    <w:p w14:paraId="01DFB73E" w14:textId="77777777" w:rsidR="00015692" w:rsidRPr="00015692" w:rsidRDefault="00015692" w:rsidP="00015692">
      <w:pPr>
        <w:spacing w:after="0" w:line="276" w:lineRule="auto"/>
        <w:rPr>
          <w:rFonts w:ascii="Cambria" w:eastAsia="Cambria" w:hAnsi="Cambria" w:cs="Cambria"/>
          <w:kern w:val="0"/>
          <w:sz w:val="22"/>
          <w:szCs w:val="22"/>
          <w14:ligatures w14:val="none"/>
        </w:rPr>
      </w:pPr>
      <w:r w:rsidRPr="00015692">
        <w:rPr>
          <w:rFonts w:ascii="Cambria" w:eastAsia="Cambria" w:hAnsi="Cambria" w:cs="Cambria"/>
          <w:kern w:val="0"/>
          <w:sz w:val="22"/>
          <w:szCs w:val="22"/>
          <w14:ligatures w14:val="none"/>
        </w:rPr>
        <w:t>Unauthorized access to or release of institutional data can cause harm to the College, members of the campus community, and external partners. The examples below illustrate the types of harm that may result if data is not properly protected.</w:t>
      </w:r>
    </w:p>
    <w:p w14:paraId="7E857044" w14:textId="77777777" w:rsidR="00015692" w:rsidRPr="00015692" w:rsidRDefault="00015692" w:rsidP="00015692">
      <w:pPr>
        <w:spacing w:before="240" w:after="240" w:line="276" w:lineRule="auto"/>
        <w:rPr>
          <w:rFonts w:ascii="Cambria" w:eastAsia="MS Mincho" w:hAnsi="Cambria" w:cs="Arial"/>
          <w:kern w:val="0"/>
          <w:sz w:val="22"/>
          <w:szCs w:val="22"/>
          <w14:ligatures w14:val="none"/>
        </w:rPr>
      </w:pPr>
      <w:r w:rsidRPr="00015692">
        <w:rPr>
          <w:rFonts w:ascii="Cambria" w:eastAsia="Cambria" w:hAnsi="Cambria" w:cs="Cambria"/>
          <w:kern w:val="0"/>
          <w:sz w:val="22"/>
          <w:szCs w:val="22"/>
          <w14:ligatures w14:val="none"/>
        </w:rPr>
        <w:t>These examples are illustrative and not exhaustive.</w:t>
      </w:r>
    </w:p>
    <w:p w14:paraId="6030E5BD" w14:textId="77777777" w:rsidR="00015692" w:rsidRPr="00015692" w:rsidRDefault="00015692" w:rsidP="00015692">
      <w:pPr>
        <w:spacing w:before="240" w:after="240" w:line="276" w:lineRule="auto"/>
        <w:rPr>
          <w:rFonts w:ascii="Cambria" w:eastAsia="MS Mincho" w:hAnsi="Cambria" w:cs="Arial"/>
          <w:kern w:val="0"/>
          <w:sz w:val="22"/>
          <w:szCs w:val="22"/>
          <w14:ligatures w14:val="none"/>
        </w:rPr>
      </w:pPr>
      <w:r w:rsidRPr="00015692">
        <w:rPr>
          <w:rFonts w:ascii="Cambria" w:eastAsia="Cambria" w:hAnsi="Cambria" w:cs="Cambria"/>
          <w:kern w:val="0"/>
          <w:sz w:val="22"/>
          <w:szCs w:val="22"/>
          <w14:ligatures w14:val="none"/>
        </w:rPr>
        <w:t>1. Operational Harm</w:t>
      </w:r>
    </w:p>
    <w:p w14:paraId="4EEA74BA" w14:textId="77777777" w:rsidR="00015692" w:rsidRPr="00015692" w:rsidRDefault="00015692" w:rsidP="00015692">
      <w:pPr>
        <w:spacing w:before="240" w:after="240" w:line="276" w:lineRule="auto"/>
        <w:rPr>
          <w:rFonts w:ascii="Cambria" w:eastAsia="MS Mincho" w:hAnsi="Cambria" w:cs="Arial"/>
          <w:kern w:val="0"/>
          <w:sz w:val="22"/>
          <w:szCs w:val="22"/>
          <w14:ligatures w14:val="none"/>
        </w:rPr>
      </w:pPr>
      <w:r w:rsidRPr="00015692">
        <w:rPr>
          <w:rFonts w:ascii="Cambria" w:eastAsia="Cambria" w:hAnsi="Cambria" w:cs="Cambria"/>
          <w:kern w:val="0"/>
          <w:sz w:val="22"/>
          <w:szCs w:val="22"/>
          <w14:ligatures w14:val="none"/>
        </w:rPr>
        <w:t>Operational harm occurs when an incident disrupts the College’s ability to carry out normal functions.</w:t>
      </w:r>
    </w:p>
    <w:p w14:paraId="138CE115" w14:textId="77777777" w:rsidR="00015692" w:rsidRPr="00015692" w:rsidRDefault="00015692" w:rsidP="00015692">
      <w:pPr>
        <w:spacing w:before="240" w:after="240" w:line="276" w:lineRule="auto"/>
        <w:rPr>
          <w:rFonts w:ascii="Cambria" w:eastAsia="MS Mincho" w:hAnsi="Cambria" w:cs="Arial"/>
          <w:kern w:val="0"/>
          <w:sz w:val="22"/>
          <w:szCs w:val="22"/>
          <w14:ligatures w14:val="none"/>
        </w:rPr>
      </w:pPr>
      <w:r w:rsidRPr="00015692">
        <w:rPr>
          <w:rFonts w:ascii="Cambria" w:eastAsia="Cambria" w:hAnsi="Cambria" w:cs="Cambria"/>
          <w:kern w:val="0"/>
          <w:sz w:val="22"/>
          <w:szCs w:val="22"/>
          <w14:ligatures w14:val="none"/>
        </w:rPr>
        <w:t>Examples include:</w:t>
      </w:r>
    </w:p>
    <w:p w14:paraId="1EA3B07B" w14:textId="77777777" w:rsidR="00015692" w:rsidRPr="00015692" w:rsidRDefault="00015692" w:rsidP="00015692">
      <w:pPr>
        <w:numPr>
          <w:ilvl w:val="0"/>
          <w:numId w:val="5"/>
        </w:numPr>
        <w:spacing w:before="240" w:after="240" w:line="276" w:lineRule="auto"/>
        <w:contextualSpacing/>
        <w:rPr>
          <w:rFonts w:ascii="Cambria" w:eastAsia="Cambria" w:hAnsi="Cambria" w:cs="Cambria"/>
          <w:kern w:val="0"/>
          <w:sz w:val="22"/>
          <w:szCs w:val="22"/>
          <w14:ligatures w14:val="none"/>
        </w:rPr>
      </w:pPr>
      <w:r w:rsidRPr="00015692">
        <w:rPr>
          <w:rFonts w:ascii="Cambria" w:eastAsia="Cambria" w:hAnsi="Cambria" w:cs="Cambria"/>
          <w:kern w:val="0"/>
          <w:sz w:val="22"/>
          <w:szCs w:val="22"/>
          <w14:ligatures w14:val="none"/>
        </w:rPr>
        <w:t>Disruption of campus systems or services (e.g., IT systems compromised or unavailable)</w:t>
      </w:r>
    </w:p>
    <w:p w14:paraId="08B62DF6" w14:textId="77777777" w:rsidR="00015692" w:rsidRPr="00015692" w:rsidRDefault="00015692" w:rsidP="00015692">
      <w:pPr>
        <w:numPr>
          <w:ilvl w:val="0"/>
          <w:numId w:val="5"/>
        </w:numPr>
        <w:spacing w:before="240" w:after="240" w:line="276" w:lineRule="auto"/>
        <w:contextualSpacing/>
        <w:rPr>
          <w:rFonts w:ascii="Cambria" w:eastAsia="Cambria" w:hAnsi="Cambria" w:cs="Cambria"/>
          <w:kern w:val="0"/>
          <w:sz w:val="22"/>
          <w:szCs w:val="22"/>
          <w14:ligatures w14:val="none"/>
        </w:rPr>
      </w:pPr>
      <w:r w:rsidRPr="00015692">
        <w:rPr>
          <w:rFonts w:ascii="Cambria" w:eastAsia="Cambria" w:hAnsi="Cambria" w:cs="Cambria"/>
          <w:kern w:val="0"/>
          <w:sz w:val="22"/>
          <w:szCs w:val="22"/>
          <w14:ligatures w14:val="none"/>
        </w:rPr>
        <w:t>Interruption of teaching, research, or administrative operations</w:t>
      </w:r>
    </w:p>
    <w:p w14:paraId="500DF096" w14:textId="77777777" w:rsidR="00015692" w:rsidRPr="00015692" w:rsidRDefault="00015692" w:rsidP="00015692">
      <w:pPr>
        <w:numPr>
          <w:ilvl w:val="0"/>
          <w:numId w:val="5"/>
        </w:numPr>
        <w:spacing w:before="240" w:after="240" w:line="276" w:lineRule="auto"/>
        <w:contextualSpacing/>
        <w:rPr>
          <w:rFonts w:ascii="Cambria" w:eastAsia="Cambria" w:hAnsi="Cambria" w:cs="Cambria"/>
          <w:kern w:val="0"/>
          <w:sz w:val="22"/>
          <w:szCs w:val="22"/>
          <w14:ligatures w14:val="none"/>
        </w:rPr>
      </w:pPr>
      <w:r w:rsidRPr="00015692">
        <w:rPr>
          <w:rFonts w:ascii="Cambria" w:eastAsia="Cambria" w:hAnsi="Cambria" w:cs="Cambria"/>
          <w:kern w:val="0"/>
          <w:sz w:val="22"/>
          <w:szCs w:val="22"/>
          <w14:ligatures w14:val="none"/>
        </w:rPr>
        <w:t>Loss or corruption of institutional data</w:t>
      </w:r>
    </w:p>
    <w:p w14:paraId="41D38980" w14:textId="77777777" w:rsidR="00015692" w:rsidRPr="00015692" w:rsidRDefault="00015692" w:rsidP="00015692">
      <w:pPr>
        <w:numPr>
          <w:ilvl w:val="0"/>
          <w:numId w:val="5"/>
        </w:numPr>
        <w:spacing w:before="240" w:after="240" w:line="276" w:lineRule="auto"/>
        <w:contextualSpacing/>
        <w:rPr>
          <w:rFonts w:ascii="Cambria" w:eastAsia="Cambria" w:hAnsi="Cambria" w:cs="Cambria"/>
          <w:kern w:val="0"/>
          <w:sz w:val="22"/>
          <w:szCs w:val="22"/>
          <w14:ligatures w14:val="none"/>
        </w:rPr>
      </w:pPr>
      <w:r w:rsidRPr="00015692">
        <w:rPr>
          <w:rFonts w:ascii="Cambria" w:eastAsia="Cambria" w:hAnsi="Cambria" w:cs="Cambria"/>
          <w:kern w:val="0"/>
          <w:sz w:val="22"/>
          <w:szCs w:val="22"/>
          <w14:ligatures w14:val="none"/>
        </w:rPr>
        <w:t>Increased cybersecurity exposure (e.g., leaked credentials enabling additional attacks)</w:t>
      </w:r>
    </w:p>
    <w:p w14:paraId="6B4ED9A0" w14:textId="77777777" w:rsidR="00015692" w:rsidRPr="00015692" w:rsidRDefault="00015692" w:rsidP="00015692">
      <w:pPr>
        <w:numPr>
          <w:ilvl w:val="0"/>
          <w:numId w:val="5"/>
        </w:numPr>
        <w:spacing w:before="240" w:after="240" w:line="276" w:lineRule="auto"/>
        <w:contextualSpacing/>
        <w:rPr>
          <w:rFonts w:ascii="Cambria" w:eastAsia="Cambria" w:hAnsi="Cambria" w:cs="Cambria"/>
          <w:kern w:val="0"/>
          <w:sz w:val="22"/>
          <w:szCs w:val="22"/>
          <w14:ligatures w14:val="none"/>
        </w:rPr>
      </w:pPr>
      <w:r w:rsidRPr="00015692">
        <w:rPr>
          <w:rFonts w:ascii="Cambria" w:eastAsia="Cambria" w:hAnsi="Cambria" w:cs="Cambria"/>
          <w:kern w:val="0"/>
          <w:sz w:val="22"/>
          <w:szCs w:val="22"/>
          <w14:ligatures w14:val="none"/>
        </w:rPr>
        <w:t>Misuse or manipulation of institutional information</w:t>
      </w:r>
    </w:p>
    <w:p w14:paraId="4AFFBF11" w14:textId="77777777" w:rsidR="00015692" w:rsidRPr="00015692" w:rsidRDefault="00015692" w:rsidP="00015692">
      <w:pPr>
        <w:spacing w:before="240" w:after="240" w:line="276" w:lineRule="auto"/>
        <w:rPr>
          <w:rFonts w:ascii="Cambria" w:eastAsia="Cambria" w:hAnsi="Cambria" w:cs="Cambria"/>
          <w:kern w:val="0"/>
          <w:sz w:val="22"/>
          <w:szCs w:val="22"/>
          <w14:ligatures w14:val="none"/>
        </w:rPr>
      </w:pPr>
      <w:r w:rsidRPr="00015692">
        <w:rPr>
          <w:rFonts w:ascii="Cambria" w:eastAsia="Cambria" w:hAnsi="Cambria" w:cs="Cambria"/>
          <w:kern w:val="0"/>
          <w:sz w:val="22"/>
          <w:szCs w:val="22"/>
          <w14:ligatures w14:val="none"/>
        </w:rPr>
        <w:t>2. Legal and Regulatory Harm</w:t>
      </w:r>
    </w:p>
    <w:p w14:paraId="5051D766" w14:textId="77777777" w:rsidR="00015692" w:rsidRPr="00015692" w:rsidRDefault="00015692" w:rsidP="00015692">
      <w:pPr>
        <w:spacing w:before="240" w:after="240" w:line="276" w:lineRule="auto"/>
        <w:rPr>
          <w:rFonts w:ascii="Cambria" w:eastAsia="MS Mincho" w:hAnsi="Cambria" w:cs="Arial"/>
          <w:kern w:val="0"/>
          <w:sz w:val="22"/>
          <w:szCs w:val="22"/>
          <w14:ligatures w14:val="none"/>
        </w:rPr>
      </w:pPr>
      <w:r w:rsidRPr="00015692">
        <w:rPr>
          <w:rFonts w:ascii="Cambria" w:eastAsia="Cambria" w:hAnsi="Cambria" w:cs="Cambria"/>
          <w:kern w:val="0"/>
          <w:sz w:val="22"/>
          <w:szCs w:val="22"/>
          <w14:ligatures w14:val="none"/>
        </w:rPr>
        <w:t>Unauthorized disclosure of certain data may violate laws, contracts, or regulatory requirements.</w:t>
      </w:r>
    </w:p>
    <w:p w14:paraId="6EC1574B" w14:textId="77777777" w:rsidR="00015692" w:rsidRPr="00015692" w:rsidRDefault="00015692" w:rsidP="00015692">
      <w:pPr>
        <w:spacing w:before="240" w:after="240" w:line="276" w:lineRule="auto"/>
        <w:rPr>
          <w:rFonts w:ascii="Cambria" w:eastAsia="MS Mincho" w:hAnsi="Cambria" w:cs="Arial"/>
          <w:kern w:val="0"/>
          <w:sz w:val="22"/>
          <w:szCs w:val="22"/>
          <w14:ligatures w14:val="none"/>
        </w:rPr>
      </w:pPr>
      <w:r w:rsidRPr="00015692">
        <w:rPr>
          <w:rFonts w:ascii="Cambria" w:eastAsia="Cambria" w:hAnsi="Cambria" w:cs="Cambria"/>
          <w:kern w:val="0"/>
          <w:sz w:val="22"/>
          <w:szCs w:val="22"/>
          <w14:ligatures w14:val="none"/>
        </w:rPr>
        <w:t>Examples include:</w:t>
      </w:r>
    </w:p>
    <w:p w14:paraId="0A3EC007" w14:textId="77777777" w:rsidR="00015692" w:rsidRPr="00015692" w:rsidRDefault="00015692" w:rsidP="00015692">
      <w:pPr>
        <w:numPr>
          <w:ilvl w:val="0"/>
          <w:numId w:val="4"/>
        </w:numPr>
        <w:spacing w:before="240" w:after="240" w:line="276" w:lineRule="auto"/>
        <w:contextualSpacing/>
        <w:rPr>
          <w:rFonts w:ascii="Cambria" w:eastAsia="Cambria" w:hAnsi="Cambria" w:cs="Cambria"/>
          <w:b/>
          <w:bCs/>
          <w:kern w:val="0"/>
          <w:sz w:val="22"/>
          <w:szCs w:val="22"/>
          <w14:ligatures w14:val="none"/>
        </w:rPr>
      </w:pPr>
      <w:r w:rsidRPr="00015692">
        <w:rPr>
          <w:rFonts w:ascii="Cambria" w:eastAsia="Cambria" w:hAnsi="Cambria" w:cs="Cambria"/>
          <w:kern w:val="0"/>
          <w:sz w:val="22"/>
          <w:szCs w:val="22"/>
          <w14:ligatures w14:val="none"/>
        </w:rPr>
        <w:t xml:space="preserve">Violations of </w:t>
      </w:r>
      <w:r w:rsidRPr="00015692">
        <w:rPr>
          <w:rFonts w:ascii="Cambria" w:eastAsia="Cambria" w:hAnsi="Cambria" w:cs="Cambria"/>
          <w:b/>
          <w:bCs/>
          <w:kern w:val="0"/>
          <w:sz w:val="22"/>
          <w:szCs w:val="22"/>
          <w14:ligatures w14:val="none"/>
        </w:rPr>
        <w:t>FERPA, HIPAA, GDPR, or state privacy laws</w:t>
      </w:r>
    </w:p>
    <w:p w14:paraId="24596FB0" w14:textId="77777777" w:rsidR="00015692" w:rsidRPr="00015692" w:rsidRDefault="00015692" w:rsidP="00015692">
      <w:pPr>
        <w:numPr>
          <w:ilvl w:val="0"/>
          <w:numId w:val="4"/>
        </w:numPr>
        <w:spacing w:before="240" w:after="240" w:line="276" w:lineRule="auto"/>
        <w:contextualSpacing/>
        <w:rPr>
          <w:rFonts w:ascii="Cambria" w:eastAsia="Cambria" w:hAnsi="Cambria" w:cs="Cambria"/>
          <w:kern w:val="0"/>
          <w:sz w:val="22"/>
          <w:szCs w:val="22"/>
          <w14:ligatures w14:val="none"/>
        </w:rPr>
      </w:pPr>
      <w:r w:rsidRPr="00015692">
        <w:rPr>
          <w:rFonts w:ascii="Cambria" w:eastAsia="Cambria" w:hAnsi="Cambria" w:cs="Cambria"/>
          <w:kern w:val="0"/>
          <w:sz w:val="22"/>
          <w:szCs w:val="22"/>
          <w14:ligatures w14:val="none"/>
        </w:rPr>
        <w:t>Failure to comply with breach notification laws</w:t>
      </w:r>
    </w:p>
    <w:p w14:paraId="161E6DAF" w14:textId="77777777" w:rsidR="00015692" w:rsidRPr="00015692" w:rsidRDefault="00015692" w:rsidP="00015692">
      <w:pPr>
        <w:numPr>
          <w:ilvl w:val="0"/>
          <w:numId w:val="4"/>
        </w:numPr>
        <w:spacing w:before="240" w:after="240" w:line="276" w:lineRule="auto"/>
        <w:contextualSpacing/>
        <w:rPr>
          <w:rFonts w:ascii="Cambria" w:eastAsia="Cambria" w:hAnsi="Cambria" w:cs="Cambria"/>
          <w:kern w:val="0"/>
          <w:sz w:val="22"/>
          <w:szCs w:val="22"/>
          <w14:ligatures w14:val="none"/>
        </w:rPr>
      </w:pPr>
      <w:r w:rsidRPr="00015692">
        <w:rPr>
          <w:rFonts w:ascii="Cambria" w:eastAsia="Cambria" w:hAnsi="Cambria" w:cs="Cambria"/>
          <w:kern w:val="0"/>
          <w:sz w:val="22"/>
          <w:szCs w:val="22"/>
          <w14:ligatures w14:val="none"/>
        </w:rPr>
        <w:t>Regulatory investigations or enforcement actions</w:t>
      </w:r>
    </w:p>
    <w:p w14:paraId="286295A3" w14:textId="77777777" w:rsidR="00015692" w:rsidRPr="00015692" w:rsidRDefault="00015692" w:rsidP="00015692">
      <w:pPr>
        <w:numPr>
          <w:ilvl w:val="0"/>
          <w:numId w:val="4"/>
        </w:numPr>
        <w:spacing w:before="240" w:after="240" w:line="276" w:lineRule="auto"/>
        <w:contextualSpacing/>
        <w:rPr>
          <w:rFonts w:ascii="Cambria" w:eastAsia="Cambria" w:hAnsi="Cambria" w:cs="Cambria"/>
          <w:kern w:val="0"/>
          <w:sz w:val="22"/>
          <w:szCs w:val="22"/>
          <w14:ligatures w14:val="none"/>
        </w:rPr>
      </w:pPr>
      <w:r w:rsidRPr="00015692">
        <w:rPr>
          <w:rFonts w:ascii="Cambria" w:eastAsia="Cambria" w:hAnsi="Cambria" w:cs="Cambria"/>
          <w:kern w:val="0"/>
          <w:sz w:val="22"/>
          <w:szCs w:val="22"/>
          <w14:ligatures w14:val="none"/>
        </w:rPr>
        <w:t>Civil litigation from affected individuals (students, employees, alumni)</w:t>
      </w:r>
    </w:p>
    <w:p w14:paraId="6913577E" w14:textId="77777777" w:rsidR="00015692" w:rsidRPr="00015692" w:rsidRDefault="00015692" w:rsidP="00015692">
      <w:pPr>
        <w:numPr>
          <w:ilvl w:val="0"/>
          <w:numId w:val="4"/>
        </w:numPr>
        <w:spacing w:before="240" w:after="240" w:line="276" w:lineRule="auto"/>
        <w:contextualSpacing/>
        <w:rPr>
          <w:rFonts w:ascii="Cambria" w:eastAsia="Cambria" w:hAnsi="Cambria" w:cs="Cambria"/>
          <w:kern w:val="0"/>
          <w:sz w:val="22"/>
          <w:szCs w:val="22"/>
          <w14:ligatures w14:val="none"/>
        </w:rPr>
      </w:pPr>
      <w:r w:rsidRPr="00015692">
        <w:rPr>
          <w:rFonts w:ascii="Cambria" w:eastAsia="Cambria" w:hAnsi="Cambria" w:cs="Cambria"/>
          <w:kern w:val="0"/>
          <w:sz w:val="22"/>
          <w:szCs w:val="22"/>
          <w14:ligatures w14:val="none"/>
        </w:rPr>
        <w:t>Contractual disputes with vendors, research sponsors, or partners</w:t>
      </w:r>
    </w:p>
    <w:p w14:paraId="26106F57" w14:textId="77777777" w:rsidR="00015692" w:rsidRPr="00015692" w:rsidRDefault="00015692" w:rsidP="00015692">
      <w:pPr>
        <w:numPr>
          <w:ilvl w:val="0"/>
          <w:numId w:val="4"/>
        </w:numPr>
        <w:spacing w:before="240" w:after="240" w:line="276" w:lineRule="auto"/>
        <w:contextualSpacing/>
        <w:rPr>
          <w:rFonts w:ascii="Cambria" w:eastAsia="Cambria" w:hAnsi="Cambria" w:cs="Cambria"/>
          <w:kern w:val="0"/>
          <w:sz w:val="22"/>
          <w:szCs w:val="22"/>
          <w14:ligatures w14:val="none"/>
        </w:rPr>
      </w:pPr>
      <w:r w:rsidRPr="00015692">
        <w:rPr>
          <w:rFonts w:ascii="Cambria" w:eastAsia="Cambria" w:hAnsi="Cambria" w:cs="Cambria"/>
          <w:kern w:val="0"/>
          <w:sz w:val="22"/>
          <w:szCs w:val="22"/>
          <w14:ligatures w14:val="none"/>
        </w:rPr>
        <w:t>Court-ordered compliance monitoring or corrective actions</w:t>
      </w:r>
    </w:p>
    <w:p w14:paraId="5F8C2C07" w14:textId="77777777" w:rsidR="00015692" w:rsidRPr="00015692" w:rsidRDefault="00015692" w:rsidP="00015692">
      <w:pPr>
        <w:spacing w:before="240" w:after="240" w:line="276" w:lineRule="auto"/>
        <w:rPr>
          <w:rFonts w:ascii="Cambria" w:eastAsia="Cambria" w:hAnsi="Cambria" w:cs="Cambria"/>
          <w:kern w:val="0"/>
          <w:sz w:val="22"/>
          <w:szCs w:val="22"/>
          <w14:ligatures w14:val="none"/>
        </w:rPr>
      </w:pPr>
      <w:r w:rsidRPr="00015692">
        <w:rPr>
          <w:rFonts w:ascii="Cambria" w:eastAsia="Cambria" w:hAnsi="Cambria" w:cs="Cambria"/>
          <w:kern w:val="0"/>
          <w:sz w:val="22"/>
          <w:szCs w:val="22"/>
          <w14:ligatures w14:val="none"/>
        </w:rPr>
        <w:t>3. Harm to Individuals/Personal Harm</w:t>
      </w:r>
    </w:p>
    <w:p w14:paraId="1F81F711" w14:textId="77777777" w:rsidR="00015692" w:rsidRPr="00015692" w:rsidRDefault="00015692" w:rsidP="00015692">
      <w:pPr>
        <w:spacing w:before="240" w:after="240" w:line="276" w:lineRule="auto"/>
        <w:rPr>
          <w:rFonts w:ascii="Cambria" w:eastAsia="MS Mincho" w:hAnsi="Cambria" w:cs="Arial"/>
          <w:kern w:val="0"/>
          <w:sz w:val="22"/>
          <w:szCs w:val="22"/>
          <w14:ligatures w14:val="none"/>
        </w:rPr>
      </w:pPr>
      <w:r w:rsidRPr="00015692">
        <w:rPr>
          <w:rFonts w:ascii="Cambria" w:eastAsia="Cambria" w:hAnsi="Cambria" w:cs="Cambria"/>
          <w:kern w:val="0"/>
          <w:sz w:val="22"/>
          <w:szCs w:val="22"/>
          <w14:ligatures w14:val="none"/>
        </w:rPr>
        <w:t>Data incidents may directly affect members of the campus community.</w:t>
      </w:r>
    </w:p>
    <w:p w14:paraId="57EFF794" w14:textId="77777777" w:rsidR="00015692" w:rsidRPr="00015692" w:rsidRDefault="00015692" w:rsidP="00015692">
      <w:pPr>
        <w:spacing w:before="240" w:after="240" w:line="276" w:lineRule="auto"/>
        <w:rPr>
          <w:rFonts w:ascii="Cambria" w:eastAsia="MS Mincho" w:hAnsi="Cambria" w:cs="Arial"/>
          <w:kern w:val="0"/>
          <w:sz w:val="22"/>
          <w:szCs w:val="22"/>
          <w14:ligatures w14:val="none"/>
        </w:rPr>
      </w:pPr>
      <w:r w:rsidRPr="00015692">
        <w:rPr>
          <w:rFonts w:ascii="Cambria" w:eastAsia="Cambria" w:hAnsi="Cambria" w:cs="Cambria"/>
          <w:kern w:val="0"/>
          <w:sz w:val="22"/>
          <w:szCs w:val="22"/>
          <w14:ligatures w14:val="none"/>
        </w:rPr>
        <w:t>Examples include:</w:t>
      </w:r>
    </w:p>
    <w:p w14:paraId="2BF9CFA5" w14:textId="77777777" w:rsidR="00015692" w:rsidRPr="00015692" w:rsidRDefault="00015692" w:rsidP="00015692">
      <w:pPr>
        <w:numPr>
          <w:ilvl w:val="0"/>
          <w:numId w:val="3"/>
        </w:numPr>
        <w:spacing w:before="240" w:after="240" w:line="276" w:lineRule="auto"/>
        <w:contextualSpacing/>
        <w:rPr>
          <w:rFonts w:ascii="Cambria" w:eastAsia="Cambria" w:hAnsi="Cambria" w:cs="Cambria"/>
          <w:kern w:val="0"/>
          <w:sz w:val="22"/>
          <w:szCs w:val="22"/>
          <w14:ligatures w14:val="none"/>
        </w:rPr>
      </w:pPr>
      <w:r w:rsidRPr="00015692">
        <w:rPr>
          <w:rFonts w:ascii="Cambria" w:eastAsia="Cambria" w:hAnsi="Cambria" w:cs="Cambria"/>
          <w:kern w:val="0"/>
          <w:sz w:val="22"/>
          <w:szCs w:val="22"/>
          <w14:ligatures w14:val="none"/>
        </w:rPr>
        <w:t>Identity theft or financial fraud using exposed personal information</w:t>
      </w:r>
    </w:p>
    <w:p w14:paraId="299FAF7B" w14:textId="77777777" w:rsidR="00015692" w:rsidRPr="00015692" w:rsidRDefault="00015692" w:rsidP="00015692">
      <w:pPr>
        <w:numPr>
          <w:ilvl w:val="0"/>
          <w:numId w:val="3"/>
        </w:numPr>
        <w:spacing w:before="240" w:after="240" w:line="276" w:lineRule="auto"/>
        <w:contextualSpacing/>
        <w:rPr>
          <w:rFonts w:ascii="Cambria" w:eastAsia="Cambria" w:hAnsi="Cambria" w:cs="Cambria"/>
          <w:kern w:val="0"/>
          <w:sz w:val="22"/>
          <w:szCs w:val="22"/>
          <w14:ligatures w14:val="none"/>
        </w:rPr>
      </w:pPr>
      <w:r w:rsidRPr="00015692">
        <w:rPr>
          <w:rFonts w:ascii="Cambria" w:eastAsia="Cambria" w:hAnsi="Cambria" w:cs="Cambria"/>
          <w:kern w:val="0"/>
          <w:sz w:val="22"/>
          <w:szCs w:val="22"/>
          <w14:ligatures w14:val="none"/>
        </w:rPr>
        <w:t>Emotional distress or anxiety resulting from exposure of personal data</w:t>
      </w:r>
    </w:p>
    <w:p w14:paraId="6E1BC08C" w14:textId="77777777" w:rsidR="00015692" w:rsidRPr="00015692" w:rsidRDefault="00015692" w:rsidP="00015692">
      <w:pPr>
        <w:numPr>
          <w:ilvl w:val="0"/>
          <w:numId w:val="3"/>
        </w:numPr>
        <w:spacing w:before="240" w:after="240" w:line="276" w:lineRule="auto"/>
        <w:contextualSpacing/>
        <w:rPr>
          <w:rFonts w:ascii="Cambria" w:eastAsia="Cambria" w:hAnsi="Cambria" w:cs="Cambria"/>
          <w:kern w:val="0"/>
          <w:sz w:val="22"/>
          <w:szCs w:val="22"/>
          <w14:ligatures w14:val="none"/>
        </w:rPr>
      </w:pPr>
      <w:r w:rsidRPr="00015692">
        <w:rPr>
          <w:rFonts w:ascii="Cambria" w:eastAsia="Cambria" w:hAnsi="Cambria" w:cs="Cambria"/>
          <w:kern w:val="0"/>
          <w:sz w:val="22"/>
          <w:szCs w:val="22"/>
          <w14:ligatures w14:val="none"/>
        </w:rPr>
        <w:lastRenderedPageBreak/>
        <w:t>Reputational damage to an individual (e.g., release of disciplinary, medical, or personnel records)</w:t>
      </w:r>
    </w:p>
    <w:p w14:paraId="39B6A3E9" w14:textId="77777777" w:rsidR="00015692" w:rsidRPr="00015692" w:rsidRDefault="00015692" w:rsidP="00015692">
      <w:pPr>
        <w:numPr>
          <w:ilvl w:val="0"/>
          <w:numId w:val="3"/>
        </w:numPr>
        <w:spacing w:before="240" w:after="240" w:line="276" w:lineRule="auto"/>
        <w:contextualSpacing/>
        <w:rPr>
          <w:rFonts w:ascii="Cambria" w:eastAsia="Cambria" w:hAnsi="Cambria" w:cs="Cambria"/>
          <w:kern w:val="0"/>
          <w:sz w:val="22"/>
          <w:szCs w:val="22"/>
          <w14:ligatures w14:val="none"/>
        </w:rPr>
      </w:pPr>
      <w:r w:rsidRPr="00015692">
        <w:rPr>
          <w:rFonts w:ascii="Cambria" w:eastAsia="Cambria" w:hAnsi="Cambria" w:cs="Cambria"/>
          <w:kern w:val="0"/>
          <w:sz w:val="22"/>
          <w:szCs w:val="22"/>
          <w14:ligatures w14:val="none"/>
        </w:rPr>
        <w:t>Harassment, stalking, or safety threats resulting from exposed contact information</w:t>
      </w:r>
    </w:p>
    <w:p w14:paraId="2EBAEE99" w14:textId="77777777" w:rsidR="00015692" w:rsidRPr="00015692" w:rsidRDefault="00015692" w:rsidP="00015692">
      <w:pPr>
        <w:numPr>
          <w:ilvl w:val="0"/>
          <w:numId w:val="3"/>
        </w:numPr>
        <w:spacing w:before="240" w:after="240" w:line="276" w:lineRule="auto"/>
        <w:contextualSpacing/>
        <w:rPr>
          <w:rFonts w:ascii="Cambria" w:eastAsia="Cambria" w:hAnsi="Cambria" w:cs="Cambria"/>
          <w:kern w:val="0"/>
          <w:sz w:val="22"/>
          <w:szCs w:val="22"/>
          <w14:ligatures w14:val="none"/>
        </w:rPr>
      </w:pPr>
      <w:r w:rsidRPr="00015692">
        <w:rPr>
          <w:rFonts w:ascii="Cambria" w:eastAsia="Cambria" w:hAnsi="Cambria" w:cs="Cambria"/>
          <w:kern w:val="0"/>
          <w:sz w:val="22"/>
          <w:szCs w:val="22"/>
          <w14:ligatures w14:val="none"/>
        </w:rPr>
        <w:t>Discrimination resulting from exposure of protected characteristics</w:t>
      </w:r>
    </w:p>
    <w:p w14:paraId="54602BF6" w14:textId="77777777" w:rsidR="00015692" w:rsidRPr="00015692" w:rsidRDefault="00015692" w:rsidP="00015692">
      <w:pPr>
        <w:spacing w:before="240" w:after="240" w:line="276" w:lineRule="auto"/>
        <w:rPr>
          <w:rFonts w:ascii="Cambria" w:eastAsia="MS Mincho" w:hAnsi="Cambria" w:cs="Arial"/>
          <w:kern w:val="0"/>
          <w:sz w:val="22"/>
          <w:szCs w:val="22"/>
          <w14:ligatures w14:val="none"/>
        </w:rPr>
      </w:pPr>
      <w:r w:rsidRPr="00015692">
        <w:rPr>
          <w:rFonts w:ascii="Cambria" w:eastAsia="Cambria" w:hAnsi="Cambria" w:cs="Cambria"/>
          <w:kern w:val="0"/>
          <w:sz w:val="22"/>
          <w:szCs w:val="22"/>
          <w14:ligatures w14:val="none"/>
        </w:rPr>
        <w:t>4. Reputational Harm</w:t>
      </w:r>
    </w:p>
    <w:p w14:paraId="0883680B" w14:textId="77777777" w:rsidR="00015692" w:rsidRPr="00015692" w:rsidRDefault="00015692" w:rsidP="00015692">
      <w:pPr>
        <w:spacing w:before="240" w:after="240" w:line="276" w:lineRule="auto"/>
        <w:rPr>
          <w:rFonts w:ascii="Cambria" w:eastAsia="MS Mincho" w:hAnsi="Cambria" w:cs="Arial"/>
          <w:kern w:val="0"/>
          <w:sz w:val="22"/>
          <w:szCs w:val="22"/>
          <w14:ligatures w14:val="none"/>
        </w:rPr>
      </w:pPr>
      <w:r w:rsidRPr="00015692">
        <w:rPr>
          <w:rFonts w:ascii="Cambria" w:eastAsia="Cambria" w:hAnsi="Cambria" w:cs="Cambria"/>
          <w:kern w:val="0"/>
          <w:sz w:val="22"/>
          <w:szCs w:val="22"/>
          <w14:ligatures w14:val="none"/>
        </w:rPr>
        <w:t>Public trust in the institution may be damaged if sensitive data is mishandled.</w:t>
      </w:r>
    </w:p>
    <w:p w14:paraId="343B2226" w14:textId="77777777" w:rsidR="00015692" w:rsidRPr="00015692" w:rsidRDefault="00015692" w:rsidP="00015692">
      <w:pPr>
        <w:spacing w:before="240" w:after="240" w:line="276" w:lineRule="auto"/>
        <w:rPr>
          <w:rFonts w:ascii="Cambria" w:eastAsia="MS Mincho" w:hAnsi="Cambria" w:cs="Arial"/>
          <w:kern w:val="0"/>
          <w:sz w:val="22"/>
          <w:szCs w:val="22"/>
          <w14:ligatures w14:val="none"/>
        </w:rPr>
      </w:pPr>
      <w:r w:rsidRPr="00015692">
        <w:rPr>
          <w:rFonts w:ascii="Cambria" w:eastAsia="Cambria" w:hAnsi="Cambria" w:cs="Cambria"/>
          <w:kern w:val="0"/>
          <w:sz w:val="22"/>
          <w:szCs w:val="22"/>
          <w14:ligatures w14:val="none"/>
        </w:rPr>
        <w:t>Examples include:</w:t>
      </w:r>
    </w:p>
    <w:p w14:paraId="5B99CF77" w14:textId="77777777" w:rsidR="00015692" w:rsidRPr="00015692" w:rsidRDefault="00015692" w:rsidP="00015692">
      <w:pPr>
        <w:numPr>
          <w:ilvl w:val="0"/>
          <w:numId w:val="2"/>
        </w:numPr>
        <w:spacing w:before="240" w:after="240" w:line="276" w:lineRule="auto"/>
        <w:contextualSpacing/>
        <w:rPr>
          <w:rFonts w:ascii="Cambria" w:eastAsia="Cambria" w:hAnsi="Cambria" w:cs="Cambria"/>
          <w:kern w:val="0"/>
          <w:sz w:val="22"/>
          <w:szCs w:val="22"/>
          <w14:ligatures w14:val="none"/>
        </w:rPr>
      </w:pPr>
      <w:r w:rsidRPr="00015692">
        <w:rPr>
          <w:rFonts w:ascii="Cambria" w:eastAsia="Cambria" w:hAnsi="Cambria" w:cs="Cambria"/>
          <w:kern w:val="0"/>
          <w:sz w:val="22"/>
          <w:szCs w:val="22"/>
          <w14:ligatures w14:val="none"/>
        </w:rPr>
        <w:t>Media coverage or public criticism following a data breach</w:t>
      </w:r>
    </w:p>
    <w:p w14:paraId="36B8E2E5" w14:textId="77777777" w:rsidR="00015692" w:rsidRPr="00015692" w:rsidRDefault="00015692" w:rsidP="00015692">
      <w:pPr>
        <w:numPr>
          <w:ilvl w:val="0"/>
          <w:numId w:val="2"/>
        </w:numPr>
        <w:spacing w:before="240" w:after="240" w:line="276" w:lineRule="auto"/>
        <w:contextualSpacing/>
        <w:rPr>
          <w:rFonts w:ascii="Cambria" w:eastAsia="Cambria" w:hAnsi="Cambria" w:cs="Cambria"/>
          <w:kern w:val="0"/>
          <w:sz w:val="22"/>
          <w:szCs w:val="22"/>
          <w14:ligatures w14:val="none"/>
        </w:rPr>
      </w:pPr>
      <w:r w:rsidRPr="00015692">
        <w:rPr>
          <w:rFonts w:ascii="Cambria" w:eastAsia="Cambria" w:hAnsi="Cambria" w:cs="Cambria"/>
          <w:kern w:val="0"/>
          <w:sz w:val="22"/>
          <w:szCs w:val="22"/>
          <w14:ligatures w14:val="none"/>
        </w:rPr>
        <w:t>Public scrutiny after sensitive research, donor, or institutional data is leaked</w:t>
      </w:r>
    </w:p>
    <w:p w14:paraId="6DE53CC9" w14:textId="77777777" w:rsidR="00015692" w:rsidRPr="00015692" w:rsidRDefault="00015692" w:rsidP="00015692">
      <w:pPr>
        <w:numPr>
          <w:ilvl w:val="0"/>
          <w:numId w:val="2"/>
        </w:numPr>
        <w:spacing w:before="240" w:after="240" w:line="276" w:lineRule="auto"/>
        <w:contextualSpacing/>
        <w:rPr>
          <w:rFonts w:ascii="Cambria" w:eastAsia="Cambria" w:hAnsi="Cambria" w:cs="Cambria"/>
          <w:kern w:val="0"/>
          <w:sz w:val="22"/>
          <w:szCs w:val="22"/>
          <w14:ligatures w14:val="none"/>
        </w:rPr>
      </w:pPr>
      <w:r w:rsidRPr="00015692">
        <w:rPr>
          <w:rFonts w:ascii="Cambria" w:eastAsia="Cambria" w:hAnsi="Cambria" w:cs="Cambria"/>
          <w:kern w:val="0"/>
          <w:sz w:val="22"/>
          <w:szCs w:val="22"/>
          <w14:ligatures w14:val="none"/>
        </w:rPr>
        <w:t>Stakeholder criticism following audits that identify poor data governance practices</w:t>
      </w:r>
    </w:p>
    <w:p w14:paraId="0E59E3CF" w14:textId="77777777" w:rsidR="00015692" w:rsidRPr="00015692" w:rsidRDefault="00015692" w:rsidP="00015692">
      <w:pPr>
        <w:numPr>
          <w:ilvl w:val="0"/>
          <w:numId w:val="2"/>
        </w:numPr>
        <w:spacing w:before="240" w:after="240" w:line="276" w:lineRule="auto"/>
        <w:contextualSpacing/>
        <w:rPr>
          <w:rFonts w:ascii="Cambria" w:eastAsia="Cambria" w:hAnsi="Cambria" w:cs="Cambria"/>
          <w:kern w:val="0"/>
          <w:sz w:val="22"/>
          <w:szCs w:val="22"/>
          <w14:ligatures w14:val="none"/>
        </w:rPr>
      </w:pPr>
      <w:r w:rsidRPr="00015692">
        <w:rPr>
          <w:rFonts w:ascii="Cambria" w:eastAsia="Cambria" w:hAnsi="Cambria" w:cs="Cambria"/>
          <w:kern w:val="0"/>
          <w:sz w:val="22"/>
          <w:szCs w:val="22"/>
          <w14:ligatures w14:val="none"/>
        </w:rPr>
        <w:t>Loss of trust from students, parents, alumni, and donors</w:t>
      </w:r>
    </w:p>
    <w:p w14:paraId="2985282F" w14:textId="77777777" w:rsidR="00015692" w:rsidRPr="00015692" w:rsidRDefault="00015692" w:rsidP="00015692">
      <w:pPr>
        <w:numPr>
          <w:ilvl w:val="0"/>
          <w:numId w:val="2"/>
        </w:numPr>
        <w:spacing w:before="240" w:after="240" w:line="276" w:lineRule="auto"/>
        <w:contextualSpacing/>
        <w:rPr>
          <w:rFonts w:ascii="Cambria" w:eastAsia="Cambria" w:hAnsi="Cambria" w:cs="Cambria"/>
          <w:kern w:val="0"/>
          <w:sz w:val="22"/>
          <w:szCs w:val="22"/>
          <w14:ligatures w14:val="none"/>
        </w:rPr>
      </w:pPr>
      <w:r w:rsidRPr="00015692">
        <w:rPr>
          <w:rFonts w:ascii="Cambria" w:eastAsia="Cambria" w:hAnsi="Cambria" w:cs="Cambria"/>
          <w:kern w:val="0"/>
          <w:sz w:val="22"/>
          <w:szCs w:val="22"/>
          <w14:ligatures w14:val="none"/>
        </w:rPr>
        <w:t>Reduced applications, enrollment yield, or philanthropic support</w:t>
      </w:r>
    </w:p>
    <w:p w14:paraId="74635E73" w14:textId="77777777" w:rsidR="00015692" w:rsidRPr="00015692" w:rsidRDefault="00015692" w:rsidP="00015692">
      <w:pPr>
        <w:spacing w:before="240" w:after="240" w:line="276" w:lineRule="auto"/>
        <w:rPr>
          <w:rFonts w:ascii="Cambria" w:eastAsia="Cambria" w:hAnsi="Cambria" w:cs="Cambria"/>
          <w:kern w:val="0"/>
          <w:sz w:val="22"/>
          <w:szCs w:val="22"/>
          <w14:ligatures w14:val="none"/>
        </w:rPr>
      </w:pPr>
      <w:r w:rsidRPr="00015692">
        <w:rPr>
          <w:rFonts w:ascii="Cambria" w:eastAsia="Cambria" w:hAnsi="Cambria" w:cs="Cambria"/>
          <w:kern w:val="0"/>
          <w:sz w:val="22"/>
          <w:szCs w:val="22"/>
          <w14:ligatures w14:val="none"/>
        </w:rPr>
        <w:t>5. Financial Harm</w:t>
      </w:r>
    </w:p>
    <w:p w14:paraId="232B57A4" w14:textId="77777777" w:rsidR="00015692" w:rsidRPr="00015692" w:rsidRDefault="00015692" w:rsidP="00015692">
      <w:pPr>
        <w:spacing w:before="240" w:after="240" w:line="276" w:lineRule="auto"/>
        <w:rPr>
          <w:rFonts w:ascii="Cambria" w:eastAsia="MS Mincho" w:hAnsi="Cambria" w:cs="Arial"/>
          <w:kern w:val="0"/>
          <w:sz w:val="22"/>
          <w:szCs w:val="22"/>
          <w14:ligatures w14:val="none"/>
        </w:rPr>
      </w:pPr>
      <w:r w:rsidRPr="00015692">
        <w:rPr>
          <w:rFonts w:ascii="Cambria" w:eastAsia="Cambria" w:hAnsi="Cambria" w:cs="Cambria"/>
          <w:kern w:val="0"/>
          <w:sz w:val="22"/>
          <w:szCs w:val="22"/>
          <w14:ligatures w14:val="none"/>
        </w:rPr>
        <w:t>Data incidents can create significant financial costs for both the institution and affected individuals.</w:t>
      </w:r>
    </w:p>
    <w:p w14:paraId="50CDFDC7" w14:textId="77777777" w:rsidR="00015692" w:rsidRPr="00015692" w:rsidRDefault="00015692" w:rsidP="00015692">
      <w:pPr>
        <w:spacing w:before="240" w:after="240" w:line="276" w:lineRule="auto"/>
        <w:rPr>
          <w:rFonts w:ascii="Cambria" w:eastAsia="MS Mincho" w:hAnsi="Cambria" w:cs="Arial"/>
          <w:kern w:val="0"/>
          <w:sz w:val="22"/>
          <w:szCs w:val="22"/>
          <w14:ligatures w14:val="none"/>
        </w:rPr>
      </w:pPr>
      <w:r w:rsidRPr="00015692">
        <w:rPr>
          <w:rFonts w:ascii="Cambria" w:eastAsia="Cambria" w:hAnsi="Cambria" w:cs="Cambria"/>
          <w:kern w:val="0"/>
          <w:sz w:val="22"/>
          <w:szCs w:val="22"/>
          <w14:ligatures w14:val="none"/>
        </w:rPr>
        <w:t>Examples include:</w:t>
      </w:r>
    </w:p>
    <w:p w14:paraId="098D94E9" w14:textId="77777777" w:rsidR="00015692" w:rsidRPr="00015692" w:rsidRDefault="00015692" w:rsidP="00015692">
      <w:pPr>
        <w:numPr>
          <w:ilvl w:val="0"/>
          <w:numId w:val="1"/>
        </w:numPr>
        <w:spacing w:before="240" w:after="240" w:line="276" w:lineRule="auto"/>
        <w:contextualSpacing/>
        <w:rPr>
          <w:rFonts w:ascii="Cambria" w:eastAsia="Cambria" w:hAnsi="Cambria" w:cs="Cambria"/>
          <w:kern w:val="0"/>
          <w:sz w:val="22"/>
          <w:szCs w:val="22"/>
          <w14:ligatures w14:val="none"/>
        </w:rPr>
      </w:pPr>
      <w:r w:rsidRPr="00015692">
        <w:rPr>
          <w:rFonts w:ascii="Cambria" w:eastAsia="Cambria" w:hAnsi="Cambria" w:cs="Cambria"/>
          <w:kern w:val="0"/>
          <w:sz w:val="22"/>
          <w:szCs w:val="22"/>
          <w14:ligatures w14:val="none"/>
        </w:rPr>
        <w:t>Regulatory fines or penalties</w:t>
      </w:r>
    </w:p>
    <w:p w14:paraId="17966B6A" w14:textId="77777777" w:rsidR="00015692" w:rsidRPr="00015692" w:rsidRDefault="00015692" w:rsidP="00015692">
      <w:pPr>
        <w:numPr>
          <w:ilvl w:val="0"/>
          <w:numId w:val="1"/>
        </w:numPr>
        <w:spacing w:before="240" w:after="240" w:line="276" w:lineRule="auto"/>
        <w:contextualSpacing/>
        <w:rPr>
          <w:rFonts w:ascii="Cambria" w:eastAsia="Cambria" w:hAnsi="Cambria" w:cs="Cambria"/>
          <w:kern w:val="0"/>
          <w:sz w:val="22"/>
          <w:szCs w:val="22"/>
          <w14:ligatures w14:val="none"/>
        </w:rPr>
      </w:pPr>
      <w:r w:rsidRPr="00015692">
        <w:rPr>
          <w:rFonts w:ascii="Cambria" w:eastAsia="Cambria" w:hAnsi="Cambria" w:cs="Cambria"/>
          <w:kern w:val="0"/>
          <w:sz w:val="22"/>
          <w:szCs w:val="22"/>
          <w14:ligatures w14:val="none"/>
        </w:rPr>
        <w:t>Legal defense costs and settlement payments</w:t>
      </w:r>
    </w:p>
    <w:p w14:paraId="73D4E541" w14:textId="77777777" w:rsidR="005D0FDE" w:rsidRDefault="005D0FDE"/>
    <w:sectPr w:rsidR="005D0FDE" w:rsidSect="00015692">
      <w:footerReference w:type="default" r:id="rId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80"/>
      <w:gridCol w:w="2880"/>
      <w:gridCol w:w="2880"/>
    </w:tblGrid>
    <w:tr w:rsidR="00015692" w14:paraId="54DD4043" w14:textId="77777777" w:rsidTr="1B9DF441">
      <w:trPr>
        <w:trHeight w:val="300"/>
      </w:trPr>
      <w:tc>
        <w:tcPr>
          <w:tcW w:w="2880" w:type="dxa"/>
        </w:tcPr>
        <w:p w14:paraId="00A380E7" w14:textId="77777777" w:rsidR="00015692" w:rsidRDefault="00015692" w:rsidP="1B9DF441">
          <w:pPr>
            <w:pStyle w:val="Header"/>
            <w:ind w:left="-115"/>
          </w:pPr>
        </w:p>
      </w:tc>
      <w:tc>
        <w:tcPr>
          <w:tcW w:w="2880" w:type="dxa"/>
        </w:tcPr>
        <w:p w14:paraId="1B94C4A9" w14:textId="77777777" w:rsidR="00015692" w:rsidRDefault="00015692" w:rsidP="1B9DF441">
          <w:pPr>
            <w:pStyle w:val="Header"/>
            <w:jc w:val="center"/>
          </w:pPr>
        </w:p>
      </w:tc>
      <w:tc>
        <w:tcPr>
          <w:tcW w:w="2880" w:type="dxa"/>
        </w:tcPr>
        <w:p w14:paraId="3549375A" w14:textId="77777777" w:rsidR="00015692" w:rsidRDefault="00015692" w:rsidP="1B9DF441">
          <w:pPr>
            <w:pStyle w:val="Header"/>
            <w:ind w:right="-115"/>
            <w:jc w:val="right"/>
          </w:pPr>
        </w:p>
      </w:tc>
    </w:tr>
  </w:tbl>
  <w:p w14:paraId="46F73440" w14:textId="77777777" w:rsidR="00015692" w:rsidRDefault="00015692" w:rsidP="1B9DF441">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431A1"/>
    <w:multiLevelType w:val="hybridMultilevel"/>
    <w:tmpl w:val="5ACCB778"/>
    <w:lvl w:ilvl="0" w:tplc="F2822294">
      <w:start w:val="1"/>
      <w:numFmt w:val="bullet"/>
      <w:lvlText w:val=""/>
      <w:lvlJc w:val="left"/>
      <w:pPr>
        <w:ind w:left="720" w:hanging="360"/>
      </w:pPr>
      <w:rPr>
        <w:rFonts w:ascii="Symbol" w:hAnsi="Symbol" w:hint="default"/>
      </w:rPr>
    </w:lvl>
    <w:lvl w:ilvl="1" w:tplc="06D69F52">
      <w:start w:val="1"/>
      <w:numFmt w:val="bullet"/>
      <w:lvlText w:val="o"/>
      <w:lvlJc w:val="left"/>
      <w:pPr>
        <w:ind w:left="1440" w:hanging="360"/>
      </w:pPr>
      <w:rPr>
        <w:rFonts w:ascii="Courier New" w:hAnsi="Courier New" w:hint="default"/>
      </w:rPr>
    </w:lvl>
    <w:lvl w:ilvl="2" w:tplc="AD064528">
      <w:start w:val="1"/>
      <w:numFmt w:val="bullet"/>
      <w:lvlText w:val=""/>
      <w:lvlJc w:val="left"/>
      <w:pPr>
        <w:ind w:left="2160" w:hanging="360"/>
      </w:pPr>
      <w:rPr>
        <w:rFonts w:ascii="Wingdings" w:hAnsi="Wingdings" w:hint="default"/>
      </w:rPr>
    </w:lvl>
    <w:lvl w:ilvl="3" w:tplc="65D2BA7E">
      <w:start w:val="1"/>
      <w:numFmt w:val="bullet"/>
      <w:lvlText w:val=""/>
      <w:lvlJc w:val="left"/>
      <w:pPr>
        <w:ind w:left="2880" w:hanging="360"/>
      </w:pPr>
      <w:rPr>
        <w:rFonts w:ascii="Symbol" w:hAnsi="Symbol" w:hint="default"/>
      </w:rPr>
    </w:lvl>
    <w:lvl w:ilvl="4" w:tplc="1A1637C6">
      <w:start w:val="1"/>
      <w:numFmt w:val="bullet"/>
      <w:lvlText w:val="o"/>
      <w:lvlJc w:val="left"/>
      <w:pPr>
        <w:ind w:left="3600" w:hanging="360"/>
      </w:pPr>
      <w:rPr>
        <w:rFonts w:ascii="Courier New" w:hAnsi="Courier New" w:hint="default"/>
      </w:rPr>
    </w:lvl>
    <w:lvl w:ilvl="5" w:tplc="F962AB72">
      <w:start w:val="1"/>
      <w:numFmt w:val="bullet"/>
      <w:lvlText w:val=""/>
      <w:lvlJc w:val="left"/>
      <w:pPr>
        <w:ind w:left="4320" w:hanging="360"/>
      </w:pPr>
      <w:rPr>
        <w:rFonts w:ascii="Wingdings" w:hAnsi="Wingdings" w:hint="default"/>
      </w:rPr>
    </w:lvl>
    <w:lvl w:ilvl="6" w:tplc="E9D08A16">
      <w:start w:val="1"/>
      <w:numFmt w:val="bullet"/>
      <w:lvlText w:val=""/>
      <w:lvlJc w:val="left"/>
      <w:pPr>
        <w:ind w:left="5040" w:hanging="360"/>
      </w:pPr>
      <w:rPr>
        <w:rFonts w:ascii="Symbol" w:hAnsi="Symbol" w:hint="default"/>
      </w:rPr>
    </w:lvl>
    <w:lvl w:ilvl="7" w:tplc="06F65A1A">
      <w:start w:val="1"/>
      <w:numFmt w:val="bullet"/>
      <w:lvlText w:val="o"/>
      <w:lvlJc w:val="left"/>
      <w:pPr>
        <w:ind w:left="5760" w:hanging="360"/>
      </w:pPr>
      <w:rPr>
        <w:rFonts w:ascii="Courier New" w:hAnsi="Courier New" w:hint="default"/>
      </w:rPr>
    </w:lvl>
    <w:lvl w:ilvl="8" w:tplc="2102BCF8">
      <w:start w:val="1"/>
      <w:numFmt w:val="bullet"/>
      <w:lvlText w:val=""/>
      <w:lvlJc w:val="left"/>
      <w:pPr>
        <w:ind w:left="6480" w:hanging="360"/>
      </w:pPr>
      <w:rPr>
        <w:rFonts w:ascii="Wingdings" w:hAnsi="Wingdings" w:hint="default"/>
      </w:rPr>
    </w:lvl>
  </w:abstractNum>
  <w:abstractNum w:abstractNumId="1" w15:restartNumberingAfterBreak="0">
    <w:nsid w:val="22B8DFF1"/>
    <w:multiLevelType w:val="hybridMultilevel"/>
    <w:tmpl w:val="C932037C"/>
    <w:lvl w:ilvl="0" w:tplc="FF9CA2D6">
      <w:start w:val="1"/>
      <w:numFmt w:val="bullet"/>
      <w:lvlText w:val=""/>
      <w:lvlJc w:val="left"/>
      <w:pPr>
        <w:ind w:left="720" w:hanging="360"/>
      </w:pPr>
      <w:rPr>
        <w:rFonts w:ascii="Symbol" w:hAnsi="Symbol" w:hint="default"/>
      </w:rPr>
    </w:lvl>
    <w:lvl w:ilvl="1" w:tplc="702CC1AA">
      <w:start w:val="1"/>
      <w:numFmt w:val="bullet"/>
      <w:lvlText w:val="o"/>
      <w:lvlJc w:val="left"/>
      <w:pPr>
        <w:ind w:left="1440" w:hanging="360"/>
      </w:pPr>
      <w:rPr>
        <w:rFonts w:ascii="Courier New" w:hAnsi="Courier New" w:hint="default"/>
      </w:rPr>
    </w:lvl>
    <w:lvl w:ilvl="2" w:tplc="1A9E7296">
      <w:start w:val="1"/>
      <w:numFmt w:val="bullet"/>
      <w:lvlText w:val=""/>
      <w:lvlJc w:val="left"/>
      <w:pPr>
        <w:ind w:left="2160" w:hanging="360"/>
      </w:pPr>
      <w:rPr>
        <w:rFonts w:ascii="Wingdings" w:hAnsi="Wingdings" w:hint="default"/>
      </w:rPr>
    </w:lvl>
    <w:lvl w:ilvl="3" w:tplc="4AB44CF2">
      <w:start w:val="1"/>
      <w:numFmt w:val="bullet"/>
      <w:lvlText w:val=""/>
      <w:lvlJc w:val="left"/>
      <w:pPr>
        <w:ind w:left="2880" w:hanging="360"/>
      </w:pPr>
      <w:rPr>
        <w:rFonts w:ascii="Symbol" w:hAnsi="Symbol" w:hint="default"/>
      </w:rPr>
    </w:lvl>
    <w:lvl w:ilvl="4" w:tplc="56EE7ADC">
      <w:start w:val="1"/>
      <w:numFmt w:val="bullet"/>
      <w:lvlText w:val="o"/>
      <w:lvlJc w:val="left"/>
      <w:pPr>
        <w:ind w:left="3600" w:hanging="360"/>
      </w:pPr>
      <w:rPr>
        <w:rFonts w:ascii="Courier New" w:hAnsi="Courier New" w:hint="default"/>
      </w:rPr>
    </w:lvl>
    <w:lvl w:ilvl="5" w:tplc="DF42781E">
      <w:start w:val="1"/>
      <w:numFmt w:val="bullet"/>
      <w:lvlText w:val=""/>
      <w:lvlJc w:val="left"/>
      <w:pPr>
        <w:ind w:left="4320" w:hanging="360"/>
      </w:pPr>
      <w:rPr>
        <w:rFonts w:ascii="Wingdings" w:hAnsi="Wingdings" w:hint="default"/>
      </w:rPr>
    </w:lvl>
    <w:lvl w:ilvl="6" w:tplc="BAD89922">
      <w:start w:val="1"/>
      <w:numFmt w:val="bullet"/>
      <w:lvlText w:val=""/>
      <w:lvlJc w:val="left"/>
      <w:pPr>
        <w:ind w:left="5040" w:hanging="360"/>
      </w:pPr>
      <w:rPr>
        <w:rFonts w:ascii="Symbol" w:hAnsi="Symbol" w:hint="default"/>
      </w:rPr>
    </w:lvl>
    <w:lvl w:ilvl="7" w:tplc="335A824C">
      <w:start w:val="1"/>
      <w:numFmt w:val="bullet"/>
      <w:lvlText w:val="o"/>
      <w:lvlJc w:val="left"/>
      <w:pPr>
        <w:ind w:left="5760" w:hanging="360"/>
      </w:pPr>
      <w:rPr>
        <w:rFonts w:ascii="Courier New" w:hAnsi="Courier New" w:hint="default"/>
      </w:rPr>
    </w:lvl>
    <w:lvl w:ilvl="8" w:tplc="45147C24">
      <w:start w:val="1"/>
      <w:numFmt w:val="bullet"/>
      <w:lvlText w:val=""/>
      <w:lvlJc w:val="left"/>
      <w:pPr>
        <w:ind w:left="6480" w:hanging="360"/>
      </w:pPr>
      <w:rPr>
        <w:rFonts w:ascii="Wingdings" w:hAnsi="Wingdings" w:hint="default"/>
      </w:rPr>
    </w:lvl>
  </w:abstractNum>
  <w:abstractNum w:abstractNumId="2" w15:restartNumberingAfterBreak="0">
    <w:nsid w:val="56A1A8FB"/>
    <w:multiLevelType w:val="hybridMultilevel"/>
    <w:tmpl w:val="548263E6"/>
    <w:lvl w:ilvl="0" w:tplc="C7EE67E0">
      <w:start w:val="1"/>
      <w:numFmt w:val="bullet"/>
      <w:lvlText w:val=""/>
      <w:lvlJc w:val="left"/>
      <w:pPr>
        <w:ind w:left="720" w:hanging="360"/>
      </w:pPr>
      <w:rPr>
        <w:rFonts w:ascii="Symbol" w:hAnsi="Symbol" w:hint="default"/>
      </w:rPr>
    </w:lvl>
    <w:lvl w:ilvl="1" w:tplc="89B6A822">
      <w:start w:val="1"/>
      <w:numFmt w:val="bullet"/>
      <w:lvlText w:val="o"/>
      <w:lvlJc w:val="left"/>
      <w:pPr>
        <w:ind w:left="1440" w:hanging="360"/>
      </w:pPr>
      <w:rPr>
        <w:rFonts w:ascii="Courier New" w:hAnsi="Courier New" w:hint="default"/>
      </w:rPr>
    </w:lvl>
    <w:lvl w:ilvl="2" w:tplc="BCCA0C7C">
      <w:start w:val="1"/>
      <w:numFmt w:val="bullet"/>
      <w:lvlText w:val=""/>
      <w:lvlJc w:val="left"/>
      <w:pPr>
        <w:ind w:left="2160" w:hanging="360"/>
      </w:pPr>
      <w:rPr>
        <w:rFonts w:ascii="Wingdings" w:hAnsi="Wingdings" w:hint="default"/>
      </w:rPr>
    </w:lvl>
    <w:lvl w:ilvl="3" w:tplc="4D5ADCB8">
      <w:start w:val="1"/>
      <w:numFmt w:val="bullet"/>
      <w:lvlText w:val=""/>
      <w:lvlJc w:val="left"/>
      <w:pPr>
        <w:ind w:left="2880" w:hanging="360"/>
      </w:pPr>
      <w:rPr>
        <w:rFonts w:ascii="Symbol" w:hAnsi="Symbol" w:hint="default"/>
      </w:rPr>
    </w:lvl>
    <w:lvl w:ilvl="4" w:tplc="1FFA2196">
      <w:start w:val="1"/>
      <w:numFmt w:val="bullet"/>
      <w:lvlText w:val="o"/>
      <w:lvlJc w:val="left"/>
      <w:pPr>
        <w:ind w:left="3600" w:hanging="360"/>
      </w:pPr>
      <w:rPr>
        <w:rFonts w:ascii="Courier New" w:hAnsi="Courier New" w:hint="default"/>
      </w:rPr>
    </w:lvl>
    <w:lvl w:ilvl="5" w:tplc="02C0F2D4">
      <w:start w:val="1"/>
      <w:numFmt w:val="bullet"/>
      <w:lvlText w:val=""/>
      <w:lvlJc w:val="left"/>
      <w:pPr>
        <w:ind w:left="4320" w:hanging="360"/>
      </w:pPr>
      <w:rPr>
        <w:rFonts w:ascii="Wingdings" w:hAnsi="Wingdings" w:hint="default"/>
      </w:rPr>
    </w:lvl>
    <w:lvl w:ilvl="6" w:tplc="6CAEDF0C">
      <w:start w:val="1"/>
      <w:numFmt w:val="bullet"/>
      <w:lvlText w:val=""/>
      <w:lvlJc w:val="left"/>
      <w:pPr>
        <w:ind w:left="5040" w:hanging="360"/>
      </w:pPr>
      <w:rPr>
        <w:rFonts w:ascii="Symbol" w:hAnsi="Symbol" w:hint="default"/>
      </w:rPr>
    </w:lvl>
    <w:lvl w:ilvl="7" w:tplc="8F0C543E">
      <w:start w:val="1"/>
      <w:numFmt w:val="bullet"/>
      <w:lvlText w:val="o"/>
      <w:lvlJc w:val="left"/>
      <w:pPr>
        <w:ind w:left="5760" w:hanging="360"/>
      </w:pPr>
      <w:rPr>
        <w:rFonts w:ascii="Courier New" w:hAnsi="Courier New" w:hint="default"/>
      </w:rPr>
    </w:lvl>
    <w:lvl w:ilvl="8" w:tplc="59383726">
      <w:start w:val="1"/>
      <w:numFmt w:val="bullet"/>
      <w:lvlText w:val=""/>
      <w:lvlJc w:val="left"/>
      <w:pPr>
        <w:ind w:left="6480" w:hanging="360"/>
      </w:pPr>
      <w:rPr>
        <w:rFonts w:ascii="Wingdings" w:hAnsi="Wingdings" w:hint="default"/>
      </w:rPr>
    </w:lvl>
  </w:abstractNum>
  <w:abstractNum w:abstractNumId="3" w15:restartNumberingAfterBreak="0">
    <w:nsid w:val="61207A00"/>
    <w:multiLevelType w:val="hybridMultilevel"/>
    <w:tmpl w:val="09F2057A"/>
    <w:lvl w:ilvl="0" w:tplc="733678E6">
      <w:start w:val="1"/>
      <w:numFmt w:val="bullet"/>
      <w:lvlText w:val=""/>
      <w:lvlJc w:val="left"/>
      <w:pPr>
        <w:ind w:left="720" w:hanging="360"/>
      </w:pPr>
      <w:rPr>
        <w:rFonts w:ascii="Symbol" w:hAnsi="Symbol" w:hint="default"/>
      </w:rPr>
    </w:lvl>
    <w:lvl w:ilvl="1" w:tplc="B4DE1948">
      <w:start w:val="1"/>
      <w:numFmt w:val="bullet"/>
      <w:lvlText w:val="o"/>
      <w:lvlJc w:val="left"/>
      <w:pPr>
        <w:ind w:left="1440" w:hanging="360"/>
      </w:pPr>
      <w:rPr>
        <w:rFonts w:ascii="Courier New" w:hAnsi="Courier New" w:hint="default"/>
      </w:rPr>
    </w:lvl>
    <w:lvl w:ilvl="2" w:tplc="62302F98">
      <w:start w:val="1"/>
      <w:numFmt w:val="bullet"/>
      <w:lvlText w:val=""/>
      <w:lvlJc w:val="left"/>
      <w:pPr>
        <w:ind w:left="2160" w:hanging="360"/>
      </w:pPr>
      <w:rPr>
        <w:rFonts w:ascii="Wingdings" w:hAnsi="Wingdings" w:hint="default"/>
      </w:rPr>
    </w:lvl>
    <w:lvl w:ilvl="3" w:tplc="461852BE">
      <w:start w:val="1"/>
      <w:numFmt w:val="bullet"/>
      <w:lvlText w:val=""/>
      <w:lvlJc w:val="left"/>
      <w:pPr>
        <w:ind w:left="2880" w:hanging="360"/>
      </w:pPr>
      <w:rPr>
        <w:rFonts w:ascii="Symbol" w:hAnsi="Symbol" w:hint="default"/>
      </w:rPr>
    </w:lvl>
    <w:lvl w:ilvl="4" w:tplc="B9DCCD8E">
      <w:start w:val="1"/>
      <w:numFmt w:val="bullet"/>
      <w:lvlText w:val="o"/>
      <w:lvlJc w:val="left"/>
      <w:pPr>
        <w:ind w:left="3600" w:hanging="360"/>
      </w:pPr>
      <w:rPr>
        <w:rFonts w:ascii="Courier New" w:hAnsi="Courier New" w:hint="default"/>
      </w:rPr>
    </w:lvl>
    <w:lvl w:ilvl="5" w:tplc="4C8AD742">
      <w:start w:val="1"/>
      <w:numFmt w:val="bullet"/>
      <w:lvlText w:val=""/>
      <w:lvlJc w:val="left"/>
      <w:pPr>
        <w:ind w:left="4320" w:hanging="360"/>
      </w:pPr>
      <w:rPr>
        <w:rFonts w:ascii="Wingdings" w:hAnsi="Wingdings" w:hint="default"/>
      </w:rPr>
    </w:lvl>
    <w:lvl w:ilvl="6" w:tplc="7D64E816">
      <w:start w:val="1"/>
      <w:numFmt w:val="bullet"/>
      <w:lvlText w:val=""/>
      <w:lvlJc w:val="left"/>
      <w:pPr>
        <w:ind w:left="5040" w:hanging="360"/>
      </w:pPr>
      <w:rPr>
        <w:rFonts w:ascii="Symbol" w:hAnsi="Symbol" w:hint="default"/>
      </w:rPr>
    </w:lvl>
    <w:lvl w:ilvl="7" w:tplc="1CA43246">
      <w:start w:val="1"/>
      <w:numFmt w:val="bullet"/>
      <w:lvlText w:val="o"/>
      <w:lvlJc w:val="left"/>
      <w:pPr>
        <w:ind w:left="5760" w:hanging="360"/>
      </w:pPr>
      <w:rPr>
        <w:rFonts w:ascii="Courier New" w:hAnsi="Courier New" w:hint="default"/>
      </w:rPr>
    </w:lvl>
    <w:lvl w:ilvl="8" w:tplc="0490849E">
      <w:start w:val="1"/>
      <w:numFmt w:val="bullet"/>
      <w:lvlText w:val=""/>
      <w:lvlJc w:val="left"/>
      <w:pPr>
        <w:ind w:left="6480" w:hanging="360"/>
      </w:pPr>
      <w:rPr>
        <w:rFonts w:ascii="Wingdings" w:hAnsi="Wingdings" w:hint="default"/>
      </w:rPr>
    </w:lvl>
  </w:abstractNum>
  <w:abstractNum w:abstractNumId="4" w15:restartNumberingAfterBreak="0">
    <w:nsid w:val="664003C3"/>
    <w:multiLevelType w:val="hybridMultilevel"/>
    <w:tmpl w:val="CC686884"/>
    <w:lvl w:ilvl="0" w:tplc="098812C0">
      <w:start w:val="1"/>
      <w:numFmt w:val="bullet"/>
      <w:lvlText w:val=""/>
      <w:lvlJc w:val="left"/>
      <w:pPr>
        <w:ind w:left="720" w:hanging="360"/>
      </w:pPr>
      <w:rPr>
        <w:rFonts w:ascii="Symbol" w:hAnsi="Symbol" w:hint="default"/>
      </w:rPr>
    </w:lvl>
    <w:lvl w:ilvl="1" w:tplc="96CE079E">
      <w:start w:val="1"/>
      <w:numFmt w:val="bullet"/>
      <w:lvlText w:val="o"/>
      <w:lvlJc w:val="left"/>
      <w:pPr>
        <w:ind w:left="1440" w:hanging="360"/>
      </w:pPr>
      <w:rPr>
        <w:rFonts w:ascii="Courier New" w:hAnsi="Courier New" w:hint="default"/>
      </w:rPr>
    </w:lvl>
    <w:lvl w:ilvl="2" w:tplc="9ADA4660">
      <w:start w:val="1"/>
      <w:numFmt w:val="bullet"/>
      <w:lvlText w:val=""/>
      <w:lvlJc w:val="left"/>
      <w:pPr>
        <w:ind w:left="2160" w:hanging="360"/>
      </w:pPr>
      <w:rPr>
        <w:rFonts w:ascii="Wingdings" w:hAnsi="Wingdings" w:hint="default"/>
      </w:rPr>
    </w:lvl>
    <w:lvl w:ilvl="3" w:tplc="1DE414FE">
      <w:start w:val="1"/>
      <w:numFmt w:val="bullet"/>
      <w:lvlText w:val=""/>
      <w:lvlJc w:val="left"/>
      <w:pPr>
        <w:ind w:left="2880" w:hanging="360"/>
      </w:pPr>
      <w:rPr>
        <w:rFonts w:ascii="Symbol" w:hAnsi="Symbol" w:hint="default"/>
      </w:rPr>
    </w:lvl>
    <w:lvl w:ilvl="4" w:tplc="C7BAE0E4">
      <w:start w:val="1"/>
      <w:numFmt w:val="bullet"/>
      <w:lvlText w:val="o"/>
      <w:lvlJc w:val="left"/>
      <w:pPr>
        <w:ind w:left="3600" w:hanging="360"/>
      </w:pPr>
      <w:rPr>
        <w:rFonts w:ascii="Courier New" w:hAnsi="Courier New" w:hint="default"/>
      </w:rPr>
    </w:lvl>
    <w:lvl w:ilvl="5" w:tplc="463491DE">
      <w:start w:val="1"/>
      <w:numFmt w:val="bullet"/>
      <w:lvlText w:val=""/>
      <w:lvlJc w:val="left"/>
      <w:pPr>
        <w:ind w:left="4320" w:hanging="360"/>
      </w:pPr>
      <w:rPr>
        <w:rFonts w:ascii="Wingdings" w:hAnsi="Wingdings" w:hint="default"/>
      </w:rPr>
    </w:lvl>
    <w:lvl w:ilvl="6" w:tplc="7A2C8CAE">
      <w:start w:val="1"/>
      <w:numFmt w:val="bullet"/>
      <w:lvlText w:val=""/>
      <w:lvlJc w:val="left"/>
      <w:pPr>
        <w:ind w:left="5040" w:hanging="360"/>
      </w:pPr>
      <w:rPr>
        <w:rFonts w:ascii="Symbol" w:hAnsi="Symbol" w:hint="default"/>
      </w:rPr>
    </w:lvl>
    <w:lvl w:ilvl="7" w:tplc="756E6ABA">
      <w:start w:val="1"/>
      <w:numFmt w:val="bullet"/>
      <w:lvlText w:val="o"/>
      <w:lvlJc w:val="left"/>
      <w:pPr>
        <w:ind w:left="5760" w:hanging="360"/>
      </w:pPr>
      <w:rPr>
        <w:rFonts w:ascii="Courier New" w:hAnsi="Courier New" w:hint="default"/>
      </w:rPr>
    </w:lvl>
    <w:lvl w:ilvl="8" w:tplc="F02A438A">
      <w:start w:val="1"/>
      <w:numFmt w:val="bullet"/>
      <w:lvlText w:val=""/>
      <w:lvlJc w:val="left"/>
      <w:pPr>
        <w:ind w:left="6480" w:hanging="360"/>
      </w:pPr>
      <w:rPr>
        <w:rFonts w:ascii="Wingdings" w:hAnsi="Wingdings" w:hint="default"/>
      </w:rPr>
    </w:lvl>
  </w:abstractNum>
  <w:num w:numId="1" w16cid:durableId="1651246911">
    <w:abstractNumId w:val="0"/>
  </w:num>
  <w:num w:numId="2" w16cid:durableId="1712682109">
    <w:abstractNumId w:val="1"/>
  </w:num>
  <w:num w:numId="3" w16cid:durableId="1586184451">
    <w:abstractNumId w:val="4"/>
  </w:num>
  <w:num w:numId="4" w16cid:durableId="673193993">
    <w:abstractNumId w:val="2"/>
  </w:num>
  <w:num w:numId="5" w16cid:durableId="12182048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692"/>
    <w:rsid w:val="00015692"/>
    <w:rsid w:val="005D0FDE"/>
    <w:rsid w:val="005D5B55"/>
    <w:rsid w:val="007F63B9"/>
    <w:rsid w:val="00C36C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5191F"/>
  <w15:chartTrackingRefBased/>
  <w15:docId w15:val="{23EE93A6-0326-46D4-86D5-D2D3AF4C7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56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56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56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56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56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56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56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56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56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56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56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56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56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56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56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56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56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5692"/>
    <w:rPr>
      <w:rFonts w:eastAsiaTheme="majorEastAsia" w:cstheme="majorBidi"/>
      <w:color w:val="272727" w:themeColor="text1" w:themeTint="D8"/>
    </w:rPr>
  </w:style>
  <w:style w:type="paragraph" w:styleId="Title">
    <w:name w:val="Title"/>
    <w:basedOn w:val="Normal"/>
    <w:next w:val="Normal"/>
    <w:link w:val="TitleChar"/>
    <w:uiPriority w:val="10"/>
    <w:qFormat/>
    <w:rsid w:val="000156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56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56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56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5692"/>
    <w:pPr>
      <w:spacing w:before="160"/>
      <w:jc w:val="center"/>
    </w:pPr>
    <w:rPr>
      <w:i/>
      <w:iCs/>
      <w:color w:val="404040" w:themeColor="text1" w:themeTint="BF"/>
    </w:rPr>
  </w:style>
  <w:style w:type="character" w:customStyle="1" w:styleId="QuoteChar">
    <w:name w:val="Quote Char"/>
    <w:basedOn w:val="DefaultParagraphFont"/>
    <w:link w:val="Quote"/>
    <w:uiPriority w:val="29"/>
    <w:rsid w:val="00015692"/>
    <w:rPr>
      <w:i/>
      <w:iCs/>
      <w:color w:val="404040" w:themeColor="text1" w:themeTint="BF"/>
    </w:rPr>
  </w:style>
  <w:style w:type="paragraph" w:styleId="ListParagraph">
    <w:name w:val="List Paragraph"/>
    <w:basedOn w:val="Normal"/>
    <w:uiPriority w:val="34"/>
    <w:qFormat/>
    <w:rsid w:val="00015692"/>
    <w:pPr>
      <w:ind w:left="720"/>
      <w:contextualSpacing/>
    </w:pPr>
  </w:style>
  <w:style w:type="character" w:styleId="IntenseEmphasis">
    <w:name w:val="Intense Emphasis"/>
    <w:basedOn w:val="DefaultParagraphFont"/>
    <w:uiPriority w:val="21"/>
    <w:qFormat/>
    <w:rsid w:val="00015692"/>
    <w:rPr>
      <w:i/>
      <w:iCs/>
      <w:color w:val="0F4761" w:themeColor="accent1" w:themeShade="BF"/>
    </w:rPr>
  </w:style>
  <w:style w:type="paragraph" w:styleId="IntenseQuote">
    <w:name w:val="Intense Quote"/>
    <w:basedOn w:val="Normal"/>
    <w:next w:val="Normal"/>
    <w:link w:val="IntenseQuoteChar"/>
    <w:uiPriority w:val="30"/>
    <w:qFormat/>
    <w:rsid w:val="000156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5692"/>
    <w:rPr>
      <w:i/>
      <w:iCs/>
      <w:color w:val="0F4761" w:themeColor="accent1" w:themeShade="BF"/>
    </w:rPr>
  </w:style>
  <w:style w:type="character" w:styleId="IntenseReference">
    <w:name w:val="Intense Reference"/>
    <w:basedOn w:val="DefaultParagraphFont"/>
    <w:uiPriority w:val="32"/>
    <w:qFormat/>
    <w:rsid w:val="00015692"/>
    <w:rPr>
      <w:b/>
      <w:bCs/>
      <w:smallCaps/>
      <w:color w:val="0F4761" w:themeColor="accent1" w:themeShade="BF"/>
      <w:spacing w:val="5"/>
    </w:rPr>
  </w:style>
  <w:style w:type="paragraph" w:styleId="Header">
    <w:name w:val="header"/>
    <w:basedOn w:val="Normal"/>
    <w:link w:val="HeaderChar"/>
    <w:uiPriority w:val="99"/>
    <w:unhideWhenUsed/>
    <w:rsid w:val="00015692"/>
    <w:pPr>
      <w:tabs>
        <w:tab w:val="center" w:pos="4680"/>
        <w:tab w:val="right" w:pos="9360"/>
      </w:tabs>
      <w:spacing w:after="0" w:line="240" w:lineRule="auto"/>
    </w:pPr>
    <w:rPr>
      <w:rFonts w:eastAsia="MS Mincho"/>
      <w:kern w:val="0"/>
      <w:sz w:val="22"/>
      <w:szCs w:val="22"/>
      <w14:ligatures w14:val="none"/>
    </w:rPr>
  </w:style>
  <w:style w:type="character" w:customStyle="1" w:styleId="HeaderChar">
    <w:name w:val="Header Char"/>
    <w:basedOn w:val="DefaultParagraphFont"/>
    <w:link w:val="Header"/>
    <w:uiPriority w:val="99"/>
    <w:rsid w:val="00015692"/>
    <w:rPr>
      <w:rFonts w:eastAsia="MS Mincho"/>
      <w:kern w:val="0"/>
      <w:sz w:val="22"/>
      <w:szCs w:val="22"/>
      <w14:ligatures w14:val="none"/>
    </w:rPr>
  </w:style>
  <w:style w:type="paragraph" w:styleId="Footer">
    <w:name w:val="footer"/>
    <w:basedOn w:val="Normal"/>
    <w:link w:val="FooterChar"/>
    <w:uiPriority w:val="99"/>
    <w:unhideWhenUsed/>
    <w:rsid w:val="00015692"/>
    <w:pPr>
      <w:tabs>
        <w:tab w:val="center" w:pos="4680"/>
        <w:tab w:val="right" w:pos="9360"/>
      </w:tabs>
      <w:spacing w:after="0" w:line="240" w:lineRule="auto"/>
    </w:pPr>
    <w:rPr>
      <w:rFonts w:eastAsia="MS Mincho"/>
      <w:kern w:val="0"/>
      <w:sz w:val="22"/>
      <w:szCs w:val="22"/>
      <w14:ligatures w14:val="none"/>
    </w:rPr>
  </w:style>
  <w:style w:type="character" w:customStyle="1" w:styleId="FooterChar">
    <w:name w:val="Footer Char"/>
    <w:basedOn w:val="DefaultParagraphFont"/>
    <w:link w:val="Footer"/>
    <w:uiPriority w:val="99"/>
    <w:rsid w:val="00015692"/>
    <w:rPr>
      <w:rFonts w:eastAsia="MS Mincho"/>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375</Words>
  <Characters>2141</Characters>
  <Application>Microsoft Office Word</Application>
  <DocSecurity>0</DocSecurity>
  <Lines>17</Lines>
  <Paragraphs>5</Paragraphs>
  <ScaleCrop>false</ScaleCrop>
  <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Lee Smith</dc:creator>
  <cp:keywords/>
  <dc:description/>
  <cp:lastModifiedBy>Karen Lee Smith</cp:lastModifiedBy>
  <cp:revision>1</cp:revision>
  <dcterms:created xsi:type="dcterms:W3CDTF">2026-07-09T21:18:00Z</dcterms:created>
  <dcterms:modified xsi:type="dcterms:W3CDTF">2026-07-09T21:18:00Z</dcterms:modified>
</cp:coreProperties>
</file>